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F0692" w14:textId="78A9E423" w:rsidR="00F44C1A" w:rsidRPr="008446C0" w:rsidRDefault="008446C0" w:rsidP="0038350C">
      <w:pPr>
        <w:spacing w:after="0" w:line="240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8446C0">
        <w:rPr>
          <w:rFonts w:cs="Calibri"/>
          <w:b/>
          <w:bCs/>
          <w:color w:val="000000" w:themeColor="text1"/>
          <w:sz w:val="24"/>
          <w:szCs w:val="24"/>
        </w:rPr>
        <w:t>Ghana</w:t>
      </w:r>
      <w:r w:rsidR="00A01901">
        <w:rPr>
          <w:rFonts w:cs="Calibri"/>
          <w:b/>
          <w:bCs/>
          <w:color w:val="000000" w:themeColor="text1"/>
          <w:sz w:val="24"/>
          <w:szCs w:val="24"/>
        </w:rPr>
        <w:t xml:space="preserve"> (Q</w:t>
      </w:r>
      <w:r w:rsidR="00125CA1">
        <w:rPr>
          <w:rFonts w:cs="Calibri"/>
          <w:b/>
          <w:bCs/>
          <w:color w:val="000000" w:themeColor="text1"/>
          <w:sz w:val="24"/>
          <w:szCs w:val="24"/>
        </w:rPr>
        <w:t>2</w:t>
      </w:r>
      <w:r w:rsidR="00A01901">
        <w:rPr>
          <w:rFonts w:cs="Calibri"/>
          <w:b/>
          <w:bCs/>
          <w:color w:val="000000" w:themeColor="text1"/>
          <w:sz w:val="24"/>
          <w:szCs w:val="24"/>
        </w:rPr>
        <w:t xml:space="preserve"> – 201</w:t>
      </w:r>
      <w:r w:rsidR="003A41CD">
        <w:rPr>
          <w:rFonts w:cs="Calibri"/>
          <w:b/>
          <w:bCs/>
          <w:color w:val="000000" w:themeColor="text1"/>
          <w:sz w:val="24"/>
          <w:szCs w:val="24"/>
        </w:rPr>
        <w:t>6</w:t>
      </w:r>
      <w:r w:rsidR="00A01901">
        <w:rPr>
          <w:rFonts w:cs="Calibri"/>
          <w:b/>
          <w:bCs/>
          <w:color w:val="000000" w:themeColor="text1"/>
          <w:sz w:val="24"/>
          <w:szCs w:val="24"/>
        </w:rPr>
        <w:t>)</w:t>
      </w:r>
      <w:r w:rsidRPr="008446C0">
        <w:rPr>
          <w:rFonts w:cs="Calibri"/>
          <w:b/>
          <w:bCs/>
          <w:color w:val="000000" w:themeColor="text1"/>
          <w:sz w:val="24"/>
          <w:szCs w:val="24"/>
        </w:rPr>
        <w:t>:</w:t>
      </w:r>
    </w:p>
    <w:p w14:paraId="5E4EACE3" w14:textId="77777777" w:rsidR="008446C0" w:rsidRPr="006B19BD" w:rsidRDefault="008446C0" w:rsidP="0038350C">
      <w:pPr>
        <w:spacing w:after="0" w:line="240" w:lineRule="auto"/>
        <w:jc w:val="both"/>
        <w:rPr>
          <w:rFonts w:cs="Calibri"/>
          <w:bCs/>
          <w:color w:val="000000" w:themeColor="text1"/>
          <w:sz w:val="24"/>
          <w:szCs w:val="24"/>
        </w:rPr>
      </w:pPr>
    </w:p>
    <w:p w14:paraId="7DDA695D" w14:textId="3F09082D" w:rsidR="0038350C" w:rsidRPr="006B19BD" w:rsidRDefault="009D6EA4" w:rsidP="00230D81">
      <w:pPr>
        <w:keepNext/>
        <w:spacing w:after="0" w:line="240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6B19BD">
        <w:rPr>
          <w:rFonts w:cs="Calibri"/>
          <w:bCs/>
          <w:i/>
          <w:color w:val="000000" w:themeColor="text1"/>
          <w:sz w:val="24"/>
          <w:szCs w:val="24"/>
          <w:u w:val="single"/>
        </w:rPr>
        <w:t xml:space="preserve">Outcome1: Up to 2 financeable energy-related NAMAs formulated in the context of national development priorities, including the associated MRV </w:t>
      </w:r>
      <w:r w:rsidRPr="006B19BD">
        <w:rPr>
          <w:rFonts w:cs="Calibri"/>
          <w:i/>
          <w:color w:val="000000" w:themeColor="text1"/>
          <w:sz w:val="24"/>
          <w:szCs w:val="24"/>
          <w:u w:val="single"/>
        </w:rPr>
        <w:t>system</w:t>
      </w:r>
      <w:r w:rsidRPr="006B19BD">
        <w:rPr>
          <w:rFonts w:cs="Calibri"/>
          <w:bCs/>
          <w:color w:val="000000" w:themeColor="text1"/>
          <w:sz w:val="24"/>
          <w:szCs w:val="24"/>
        </w:rPr>
        <w:t xml:space="preserve"> </w:t>
      </w:r>
    </w:p>
    <w:p w14:paraId="63E3C8F9" w14:textId="77777777" w:rsidR="00A3023B" w:rsidRDefault="00B40D4E" w:rsidP="00230D81">
      <w:pPr>
        <w:pStyle w:val="NoSpacing"/>
        <w:jc w:val="both"/>
      </w:pPr>
      <w:r>
        <w:t>The NAMA(s) for RE and cooking solutions ha</w:t>
      </w:r>
      <w:r w:rsidR="00230D81">
        <w:t>s</w:t>
      </w:r>
      <w:r>
        <w:t xml:space="preserve"> been completed</w:t>
      </w:r>
      <w:r w:rsidR="00A3023B">
        <w:t>.</w:t>
      </w:r>
    </w:p>
    <w:p w14:paraId="5E299D9F" w14:textId="77777777" w:rsidR="00A3023B" w:rsidRDefault="00A3023B" w:rsidP="00230D81">
      <w:pPr>
        <w:pStyle w:val="NoSpacing"/>
        <w:jc w:val="both"/>
      </w:pPr>
    </w:p>
    <w:p w14:paraId="1BFD1545" w14:textId="4DB435F9" w:rsidR="00A3023B" w:rsidRDefault="00A3023B" w:rsidP="00230D81">
      <w:pPr>
        <w:pStyle w:val="NoSpacing"/>
        <w:jc w:val="both"/>
      </w:pPr>
      <w:r>
        <w:t xml:space="preserve">LECB will continue to support the </w:t>
      </w:r>
      <w:r w:rsidRPr="00A3023B">
        <w:t xml:space="preserve">development and establishment of the governance structure of the selected NAMAs. </w:t>
      </w:r>
      <w:r w:rsidR="003C1701">
        <w:t>Ghana’s National Designated Authority for the Green Climate Fund (Ministry of Finance) nominated UNDP as Multilateral Implementing Entity</w:t>
      </w:r>
      <w:r w:rsidR="00670CC6">
        <w:t xml:space="preserve"> for the NAMA developed by LECB</w:t>
      </w:r>
      <w:r w:rsidR="003C1701">
        <w:t xml:space="preserve"> last year. Consultations have started to discuss the way forward, in collaboration with the UNDP/UNEP Green Climate Fund Readiness Programme.</w:t>
      </w:r>
    </w:p>
    <w:p w14:paraId="0F262F4B" w14:textId="77777777" w:rsidR="00A27132" w:rsidRDefault="00A27132" w:rsidP="00230D81">
      <w:pPr>
        <w:pStyle w:val="NoSpacing"/>
        <w:jc w:val="both"/>
      </w:pPr>
    </w:p>
    <w:p w14:paraId="2CACF12E" w14:textId="77777777" w:rsidR="009D6EA4" w:rsidRPr="006B19BD" w:rsidRDefault="009D6EA4" w:rsidP="00230D81">
      <w:pPr>
        <w:keepNext/>
        <w:spacing w:after="0" w:line="240" w:lineRule="auto"/>
        <w:jc w:val="both"/>
        <w:rPr>
          <w:rFonts w:cs="Calibri"/>
          <w:bCs/>
          <w:i/>
          <w:color w:val="000000" w:themeColor="text1"/>
          <w:sz w:val="24"/>
          <w:szCs w:val="24"/>
          <w:u w:val="single"/>
        </w:rPr>
      </w:pPr>
      <w:r w:rsidRPr="006B19BD">
        <w:rPr>
          <w:rFonts w:cs="Calibri"/>
          <w:bCs/>
          <w:i/>
          <w:color w:val="000000" w:themeColor="text1"/>
          <w:sz w:val="24"/>
          <w:szCs w:val="24"/>
          <w:u w:val="single"/>
        </w:rPr>
        <w:t>Outcome2: Ghana NAMAs Investor Guide reviewed and promoted among the business community</w:t>
      </w:r>
    </w:p>
    <w:p w14:paraId="6CF97744" w14:textId="7F56CB8A" w:rsidR="00174789" w:rsidRDefault="003C1701" w:rsidP="00230D81">
      <w:pPr>
        <w:pStyle w:val="NoSpacing"/>
        <w:jc w:val="both"/>
      </w:pPr>
      <w:r w:rsidRPr="00D76B94">
        <w:t xml:space="preserve">The </w:t>
      </w:r>
      <w:r w:rsidR="00E246CF" w:rsidRPr="00D76B94">
        <w:t>Ministry of Environment, Science, Technology &amp; Innovation</w:t>
      </w:r>
      <w:r w:rsidR="00FD1C67" w:rsidRPr="00D76B94">
        <w:t xml:space="preserve"> (MESTI)</w:t>
      </w:r>
      <w:r w:rsidR="00E246CF" w:rsidRPr="00D76B94">
        <w:t xml:space="preserve"> signed an MOU with the Private Enterprise Federation (PEF) to implement the </w:t>
      </w:r>
      <w:r w:rsidRPr="00D76B94">
        <w:t xml:space="preserve">NAMA Investor Guide </w:t>
      </w:r>
      <w:r w:rsidR="00E246CF" w:rsidRPr="00D76B94">
        <w:t>related activities</w:t>
      </w:r>
      <w:r w:rsidRPr="00D76B94">
        <w:t xml:space="preserve">. </w:t>
      </w:r>
      <w:r w:rsidR="00E246CF" w:rsidRPr="00D76B94">
        <w:t xml:space="preserve">PEF has commenced activities </w:t>
      </w:r>
      <w:r w:rsidR="00FD1C67" w:rsidRPr="00D76B94">
        <w:t xml:space="preserve">in Quarter 3 </w:t>
      </w:r>
      <w:r w:rsidR="00E246CF" w:rsidRPr="00D76B94">
        <w:t>with the business community and are expected to complete Outcome 2</w:t>
      </w:r>
      <w:r w:rsidR="00FD1C67" w:rsidRPr="00D76B94">
        <w:t xml:space="preserve"> related activities</w:t>
      </w:r>
      <w:r w:rsidR="00E246CF" w:rsidRPr="00D76B94">
        <w:t xml:space="preserve"> by the end of Quarter 4. </w:t>
      </w:r>
    </w:p>
    <w:p w14:paraId="1721F38C" w14:textId="77777777" w:rsidR="00E246CF" w:rsidRPr="006B19BD" w:rsidRDefault="00E246CF" w:rsidP="00230D81">
      <w:pPr>
        <w:pStyle w:val="NoSpacing"/>
        <w:jc w:val="both"/>
        <w:rPr>
          <w:rFonts w:cs="Calibri"/>
          <w:bCs/>
          <w:color w:val="000000" w:themeColor="text1"/>
          <w:sz w:val="24"/>
          <w:szCs w:val="24"/>
        </w:rPr>
      </w:pPr>
    </w:p>
    <w:p w14:paraId="39616D2F" w14:textId="77777777" w:rsidR="009D6EA4" w:rsidRPr="006B19BD" w:rsidRDefault="009D6EA4" w:rsidP="00230D81">
      <w:pPr>
        <w:keepNext/>
        <w:spacing w:after="0" w:line="240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6B19BD">
        <w:rPr>
          <w:rFonts w:cs="Calibri"/>
          <w:bCs/>
          <w:i/>
          <w:color w:val="000000" w:themeColor="text1"/>
          <w:sz w:val="24"/>
          <w:szCs w:val="24"/>
          <w:u w:val="single"/>
        </w:rPr>
        <w:t xml:space="preserve">Outcome3: National system for preparation of GHG inventories </w:t>
      </w:r>
      <w:r w:rsidRPr="006B19BD">
        <w:rPr>
          <w:rFonts w:cs="Calibri"/>
          <w:i/>
          <w:color w:val="000000" w:themeColor="text1"/>
          <w:sz w:val="24"/>
          <w:szCs w:val="24"/>
          <w:u w:val="single"/>
        </w:rPr>
        <w:t>strengthened</w:t>
      </w:r>
      <w:r w:rsidRPr="006B19BD">
        <w:rPr>
          <w:rFonts w:cs="Calibri"/>
          <w:bCs/>
          <w:color w:val="000000" w:themeColor="text1"/>
          <w:sz w:val="24"/>
          <w:szCs w:val="24"/>
        </w:rPr>
        <w:t xml:space="preserve"> </w:t>
      </w:r>
    </w:p>
    <w:p w14:paraId="59ECFEA0" w14:textId="5BB57CFC" w:rsidR="00B85370" w:rsidRDefault="0055427C">
      <w:pPr>
        <w:pStyle w:val="NoSpacing"/>
        <w:jc w:val="both"/>
      </w:pPr>
      <w:r>
        <w:t xml:space="preserve"> </w:t>
      </w:r>
    </w:p>
    <w:p w14:paraId="5B35696E" w14:textId="6DF5789C" w:rsidR="00670CC6" w:rsidRDefault="003C1701">
      <w:pPr>
        <w:pStyle w:val="NoSpacing"/>
        <w:jc w:val="both"/>
      </w:pPr>
      <w:r>
        <w:t>LEC</w:t>
      </w:r>
      <w:r w:rsidR="00670CC6">
        <w:t>B</w:t>
      </w:r>
      <w:r>
        <w:t xml:space="preserve"> is collaborating with the GCF Readiness Programme to support the establishment of a national MRV system, especially in line with Ghana’s Intended Nationally Determined Contribution (INDC) to UNFCCC.</w:t>
      </w:r>
      <w:r w:rsidR="00670CC6">
        <w:t xml:space="preserve"> LECB is focusing on MRV of Climate Action, while the Readiness Programme is focusing on MRV for Finance. The consultants’ recruitment</w:t>
      </w:r>
      <w:r w:rsidR="007433ED">
        <w:t>s</w:t>
      </w:r>
      <w:r w:rsidR="00670CC6">
        <w:t xml:space="preserve"> </w:t>
      </w:r>
      <w:r w:rsidR="007433ED">
        <w:t>have</w:t>
      </w:r>
      <w:r w:rsidR="0012306F">
        <w:t xml:space="preserve"> been completed and work has commenced and is </w:t>
      </w:r>
      <w:r w:rsidR="00670CC6">
        <w:t xml:space="preserve">expected to </w:t>
      </w:r>
      <w:r w:rsidR="0012306F">
        <w:t>be</w:t>
      </w:r>
      <w:r w:rsidR="00670CC6">
        <w:t xml:space="preserve"> complete in Q4.</w:t>
      </w:r>
    </w:p>
    <w:p w14:paraId="2CF596BB" w14:textId="77777777" w:rsidR="00290346" w:rsidRPr="00B85370" w:rsidRDefault="00290346" w:rsidP="00230D81">
      <w:pPr>
        <w:pStyle w:val="NoSpacing"/>
        <w:jc w:val="both"/>
      </w:pPr>
    </w:p>
    <w:p w14:paraId="3C51132E" w14:textId="77777777" w:rsidR="00230D81" w:rsidRDefault="00701914" w:rsidP="00230D81">
      <w:pPr>
        <w:spacing w:after="0" w:line="240" w:lineRule="auto"/>
        <w:jc w:val="both"/>
        <w:rPr>
          <w:rFonts w:cs="Arial"/>
          <w:i/>
          <w:color w:val="000000" w:themeColor="text1"/>
          <w:sz w:val="24"/>
          <w:szCs w:val="24"/>
          <w:u w:val="single"/>
        </w:rPr>
      </w:pPr>
      <w:r w:rsidRPr="006B19BD">
        <w:rPr>
          <w:rFonts w:cs="Arial"/>
          <w:i/>
          <w:color w:val="000000" w:themeColor="text1"/>
          <w:sz w:val="24"/>
          <w:szCs w:val="24"/>
          <w:u w:val="single"/>
        </w:rPr>
        <w:t xml:space="preserve">Output 4: National agenda for the setting of national emission ambition established </w:t>
      </w:r>
    </w:p>
    <w:p w14:paraId="32E2C645" w14:textId="6A04D5CE" w:rsidR="00D65F54" w:rsidRDefault="00670CC6" w:rsidP="00D65F54">
      <w:r>
        <w:t xml:space="preserve">Ghana participated in the high level ceremony for the signing ceremony of the Paris Agreement hosted by the UN Secretary General in New York in April. </w:t>
      </w:r>
      <w:r w:rsidR="00D65F54" w:rsidRPr="00D65F54">
        <w:t>The Parliament of the Republic of</w:t>
      </w:r>
      <w:r w:rsidR="00D65F54">
        <w:t xml:space="preserve"> Ghana also ratified the Paris Agreement on </w:t>
      </w:r>
      <w:r w:rsidR="00D65F54" w:rsidRPr="00D65F54">
        <w:t>4th of August, 2016</w:t>
      </w:r>
      <w:r w:rsidR="00D65F54">
        <w:t>.</w:t>
      </w:r>
    </w:p>
    <w:p w14:paraId="3847F4F2" w14:textId="0EDF5242" w:rsidR="003A41CD" w:rsidRDefault="00670CC6" w:rsidP="00D65F54">
      <w:r>
        <w:t xml:space="preserve">The </w:t>
      </w:r>
      <w:r w:rsidR="007433ED">
        <w:t xml:space="preserve">MESTI </w:t>
      </w:r>
      <w:r>
        <w:t>initiated a national road show</w:t>
      </w:r>
      <w:r w:rsidR="00061923">
        <w:t xml:space="preserve"> in </w:t>
      </w:r>
      <w:r w:rsidR="0012306F">
        <w:t xml:space="preserve">the eastern region, meetings were held with </w:t>
      </w:r>
      <w:r w:rsidR="00061923">
        <w:t>traditional leaders and local authorities for two main purposes: 1) explain the Paris Agreement and what Ghana is committing to through the ratification process; 2) get useful inpu</w:t>
      </w:r>
      <w:r w:rsidR="00902D00">
        <w:t>ts from</w:t>
      </w:r>
      <w:r w:rsidR="00061923">
        <w:t xml:space="preserve"> stakeholders which will feed into the development of the NDC’s implementation plan that will be developed in Q</w:t>
      </w:r>
      <w:r w:rsidR="0012306F">
        <w:t>4</w:t>
      </w:r>
      <w:r w:rsidR="00061923">
        <w:t xml:space="preserve">. </w:t>
      </w:r>
    </w:p>
    <w:p w14:paraId="39269150" w14:textId="546B6D2B" w:rsidR="00BF71B0" w:rsidRPr="00230D81" w:rsidRDefault="00BF71B0" w:rsidP="00230D81">
      <w:pPr>
        <w:spacing w:after="0" w:line="240" w:lineRule="auto"/>
        <w:jc w:val="both"/>
        <w:rPr>
          <w:rFonts w:cs="Arial"/>
          <w:i/>
          <w:color w:val="000000" w:themeColor="text1"/>
          <w:sz w:val="24"/>
          <w:szCs w:val="24"/>
          <w:u w:val="single"/>
        </w:rPr>
      </w:pPr>
    </w:p>
    <w:p w14:paraId="0FC359F3" w14:textId="77777777" w:rsidR="00B40D4E" w:rsidRDefault="00B40D4E" w:rsidP="003612A4">
      <w:pPr>
        <w:pStyle w:val="NoSpacing"/>
        <w:spacing w:line="276" w:lineRule="auto"/>
        <w:jc w:val="both"/>
      </w:pPr>
    </w:p>
    <w:p w14:paraId="491CC87D" w14:textId="77777777" w:rsidR="00B40D4E" w:rsidRPr="006B19BD" w:rsidRDefault="00B40D4E" w:rsidP="003612A4">
      <w:pPr>
        <w:pStyle w:val="NoSpacing"/>
        <w:spacing w:line="276" w:lineRule="auto"/>
        <w:jc w:val="both"/>
      </w:pPr>
    </w:p>
    <w:p w14:paraId="3036EE57" w14:textId="77777777" w:rsidR="009D6EA4" w:rsidRPr="0038350C" w:rsidRDefault="009D6EA4" w:rsidP="009D6EA4">
      <w:pPr>
        <w:spacing w:after="0" w:line="240" w:lineRule="auto"/>
        <w:jc w:val="both"/>
        <w:rPr>
          <w:rFonts w:cs="Calibri"/>
          <w:bCs/>
          <w:color w:val="1F497D"/>
          <w:sz w:val="24"/>
          <w:szCs w:val="24"/>
        </w:rPr>
      </w:pPr>
    </w:p>
    <w:p w14:paraId="0FC8C9D9" w14:textId="77777777" w:rsidR="009D6EA4" w:rsidRPr="0038350C" w:rsidRDefault="00EB430D" w:rsidP="009D6EA4">
      <w:pPr>
        <w:spacing w:after="0" w:line="240" w:lineRule="auto"/>
        <w:jc w:val="both"/>
        <w:rPr>
          <w:rFonts w:cs="Calibri"/>
          <w:color w:val="1F497D"/>
          <w:sz w:val="24"/>
          <w:szCs w:val="24"/>
          <w:lang w:val="en-GB"/>
        </w:rPr>
      </w:pPr>
      <w:r w:rsidRPr="0038350C">
        <w:rPr>
          <w:noProof/>
          <w:sz w:val="24"/>
          <w:szCs w:val="24"/>
        </w:rPr>
        <w:drawing>
          <wp:inline distT="0" distB="0" distL="0" distR="0" wp14:anchorId="3AA0E051" wp14:editId="48CA62E2">
            <wp:extent cx="819303" cy="2923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28309" cy="29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50C">
        <w:rPr>
          <w:rFonts w:cs="Calibri"/>
          <w:color w:val="1F497D"/>
          <w:sz w:val="24"/>
          <w:szCs w:val="24"/>
          <w:lang w:val="en-GB"/>
        </w:rPr>
        <w:t xml:space="preserve">                                                       </w:t>
      </w:r>
      <w:r w:rsidRPr="0038350C">
        <w:rPr>
          <w:noProof/>
          <w:sz w:val="24"/>
          <w:szCs w:val="24"/>
        </w:rPr>
        <w:drawing>
          <wp:inline distT="0" distB="0" distL="0" distR="0" wp14:anchorId="174061AE" wp14:editId="1BF00111">
            <wp:extent cx="584784" cy="415008"/>
            <wp:effectExtent l="0" t="0" r="6350" b="4445"/>
            <wp:docPr id="3" name="Picture 3" descr="Afficher l'image en taille ré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Afficher l'image en taille réel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8" cy="42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50C">
        <w:rPr>
          <w:rFonts w:cs="Calibri"/>
          <w:color w:val="1F497D"/>
          <w:sz w:val="24"/>
          <w:szCs w:val="24"/>
          <w:lang w:val="en-GB"/>
        </w:rPr>
        <w:t xml:space="preserve">                                       </w:t>
      </w:r>
      <w:r w:rsidRPr="0038350C">
        <w:rPr>
          <w:noProof/>
          <w:sz w:val="24"/>
          <w:szCs w:val="24"/>
        </w:rPr>
        <w:drawing>
          <wp:inline distT="0" distB="0" distL="0" distR="0" wp14:anchorId="6165AD22" wp14:editId="14AFE7E4">
            <wp:extent cx="1053389" cy="34095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31" cy="35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50C">
        <w:rPr>
          <w:rFonts w:cs="Calibri"/>
          <w:color w:val="1F497D"/>
          <w:sz w:val="24"/>
          <w:szCs w:val="24"/>
          <w:lang w:val="en-GB"/>
        </w:rPr>
        <w:t xml:space="preserve">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80"/>
        <w:gridCol w:w="2525"/>
        <w:gridCol w:w="3171"/>
      </w:tblGrid>
      <w:tr w:rsidR="00184613" w:rsidRPr="000E1448" w14:paraId="7516D2C4" w14:textId="77777777" w:rsidTr="009B1186">
        <w:trPr>
          <w:jc w:val="center"/>
        </w:trPr>
        <w:tc>
          <w:tcPr>
            <w:tcW w:w="3380" w:type="dxa"/>
          </w:tcPr>
          <w:p w14:paraId="24F453B7" w14:textId="77777777" w:rsidR="00184613" w:rsidRPr="000E1448" w:rsidRDefault="00184613" w:rsidP="009B1186">
            <w:pPr>
              <w:pStyle w:val="Footer"/>
              <w:tabs>
                <w:tab w:val="left" w:pos="1620"/>
                <w:tab w:val="right" w:pos="6120"/>
                <w:tab w:val="left" w:pos="657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sz w:val="21"/>
                <w:szCs w:val="21"/>
              </w:rPr>
            </w:pPr>
          </w:p>
        </w:tc>
        <w:tc>
          <w:tcPr>
            <w:tcW w:w="2525" w:type="dxa"/>
          </w:tcPr>
          <w:p w14:paraId="4C3C4AB4" w14:textId="77777777" w:rsidR="00184613" w:rsidRPr="000E1448" w:rsidRDefault="00184613" w:rsidP="009B1186">
            <w:pPr>
              <w:pStyle w:val="Footer"/>
              <w:tabs>
                <w:tab w:val="left" w:pos="1620"/>
                <w:tab w:val="right" w:pos="6120"/>
                <w:tab w:val="left" w:pos="657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3171" w:type="dxa"/>
          </w:tcPr>
          <w:p w14:paraId="400AB036" w14:textId="77777777" w:rsidR="00184613" w:rsidRPr="000E1448" w:rsidRDefault="00184613" w:rsidP="009B1186">
            <w:pPr>
              <w:pStyle w:val="Footer"/>
              <w:tabs>
                <w:tab w:val="left" w:pos="1620"/>
                <w:tab w:val="right" w:pos="6120"/>
                <w:tab w:val="left" w:pos="657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jc w:val="right"/>
              <w:rPr>
                <w:sz w:val="21"/>
                <w:szCs w:val="21"/>
              </w:rPr>
            </w:pPr>
          </w:p>
        </w:tc>
      </w:tr>
    </w:tbl>
    <w:p w14:paraId="07A0B087" w14:textId="77777777" w:rsidR="00184613" w:rsidRPr="000E1448" w:rsidRDefault="00184613" w:rsidP="009D6EA4">
      <w:pPr>
        <w:spacing w:after="0" w:line="20" w:lineRule="exact"/>
        <w:jc w:val="both"/>
        <w:rPr>
          <w:rFonts w:cs="Calibri"/>
          <w:color w:val="1F497D"/>
          <w:sz w:val="21"/>
          <w:szCs w:val="21"/>
          <w:lang w:val="en-GB"/>
        </w:rPr>
      </w:pPr>
    </w:p>
    <w:sectPr w:rsidR="00184613" w:rsidRPr="000E1448" w:rsidSect="004278BE">
      <w:headerReference w:type="default" r:id="rId10"/>
      <w:pgSz w:w="12240" w:h="15840"/>
      <w:pgMar w:top="1080" w:right="90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6009B" w14:textId="77777777" w:rsidR="0041028D" w:rsidRDefault="0041028D" w:rsidP="00F118F4">
      <w:pPr>
        <w:spacing w:after="0" w:line="240" w:lineRule="auto"/>
      </w:pPr>
      <w:r>
        <w:separator/>
      </w:r>
    </w:p>
  </w:endnote>
  <w:endnote w:type="continuationSeparator" w:id="0">
    <w:p w14:paraId="43813C80" w14:textId="77777777" w:rsidR="0041028D" w:rsidRDefault="0041028D" w:rsidP="00F1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70FFB" w14:textId="77777777" w:rsidR="0041028D" w:rsidRDefault="0041028D" w:rsidP="00F118F4">
      <w:pPr>
        <w:spacing w:after="0" w:line="240" w:lineRule="auto"/>
      </w:pPr>
      <w:r>
        <w:separator/>
      </w:r>
    </w:p>
  </w:footnote>
  <w:footnote w:type="continuationSeparator" w:id="0">
    <w:p w14:paraId="21C0A127" w14:textId="77777777" w:rsidR="0041028D" w:rsidRDefault="0041028D" w:rsidP="00F1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3018AD" w14:paraId="49D32CF2" w14:textId="77777777" w:rsidTr="009B1186">
      <w:tc>
        <w:tcPr>
          <w:tcW w:w="4788" w:type="dxa"/>
        </w:tcPr>
        <w:p w14:paraId="574B8DAF" w14:textId="77777777" w:rsidR="003018AD" w:rsidRDefault="003018AD" w:rsidP="009B1186">
          <w:pPr>
            <w:pStyle w:val="Head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0AC413CD" wp14:editId="1F386276">
                <wp:extent cx="2080260" cy="529225"/>
                <wp:effectExtent l="0" t="0" r="0" b="444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CB full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204" cy="53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08874E4A" w14:textId="77777777" w:rsidR="003018AD" w:rsidRDefault="003018AD" w:rsidP="009B1186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51260B2E" wp14:editId="3B87B409">
                <wp:extent cx="307104" cy="629683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DP_Logo-Blue w TaglineBlue-E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224" cy="629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70255E" w14:textId="77777777" w:rsidR="003018AD" w:rsidRDefault="003018AD" w:rsidP="00FD1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BE6"/>
    <w:multiLevelType w:val="hybridMultilevel"/>
    <w:tmpl w:val="AC862098"/>
    <w:lvl w:ilvl="0" w:tplc="CB760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3B7A"/>
    <w:multiLevelType w:val="hybridMultilevel"/>
    <w:tmpl w:val="CBDE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24503"/>
    <w:multiLevelType w:val="hybridMultilevel"/>
    <w:tmpl w:val="9D54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6CC9"/>
    <w:multiLevelType w:val="hybridMultilevel"/>
    <w:tmpl w:val="6A42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B3A67"/>
    <w:multiLevelType w:val="hybridMultilevel"/>
    <w:tmpl w:val="772C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E6EAA"/>
    <w:multiLevelType w:val="hybridMultilevel"/>
    <w:tmpl w:val="CBE00754"/>
    <w:lvl w:ilvl="0" w:tplc="C23277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72A37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C0CB07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A04F1A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B0EFB2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AF8296F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F66018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65C4E64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9C4788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692C7A48"/>
    <w:multiLevelType w:val="hybridMultilevel"/>
    <w:tmpl w:val="C494F3AE"/>
    <w:lvl w:ilvl="0" w:tplc="BCD269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D245A"/>
    <w:multiLevelType w:val="hybridMultilevel"/>
    <w:tmpl w:val="9D6CB5C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3B4B4A"/>
    <w:multiLevelType w:val="hybridMultilevel"/>
    <w:tmpl w:val="346EB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04C96"/>
    <w:multiLevelType w:val="hybridMultilevel"/>
    <w:tmpl w:val="B4A4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A58C7"/>
    <w:multiLevelType w:val="hybridMultilevel"/>
    <w:tmpl w:val="E3D2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2C"/>
    <w:rsid w:val="0000074A"/>
    <w:rsid w:val="00010775"/>
    <w:rsid w:val="000158E1"/>
    <w:rsid w:val="00024BF5"/>
    <w:rsid w:val="00061923"/>
    <w:rsid w:val="000649BC"/>
    <w:rsid w:val="000979AE"/>
    <w:rsid w:val="000A151B"/>
    <w:rsid w:val="000B106C"/>
    <w:rsid w:val="000C1344"/>
    <w:rsid w:val="000C3984"/>
    <w:rsid w:val="000C6901"/>
    <w:rsid w:val="000C7A1B"/>
    <w:rsid w:val="000D6BB5"/>
    <w:rsid w:val="000D7970"/>
    <w:rsid w:val="000E1448"/>
    <w:rsid w:val="00100FB2"/>
    <w:rsid w:val="0010246F"/>
    <w:rsid w:val="001200C2"/>
    <w:rsid w:val="0012306F"/>
    <w:rsid w:val="00125CA1"/>
    <w:rsid w:val="00127180"/>
    <w:rsid w:val="00135555"/>
    <w:rsid w:val="00141C62"/>
    <w:rsid w:val="001423C0"/>
    <w:rsid w:val="0015057E"/>
    <w:rsid w:val="001612C9"/>
    <w:rsid w:val="00174789"/>
    <w:rsid w:val="00175C7B"/>
    <w:rsid w:val="00184613"/>
    <w:rsid w:val="00195CC6"/>
    <w:rsid w:val="001D011C"/>
    <w:rsid w:val="001E2561"/>
    <w:rsid w:val="001F0484"/>
    <w:rsid w:val="00216412"/>
    <w:rsid w:val="002249B3"/>
    <w:rsid w:val="00226F1D"/>
    <w:rsid w:val="00230D81"/>
    <w:rsid w:val="0024027A"/>
    <w:rsid w:val="00253F9B"/>
    <w:rsid w:val="00267796"/>
    <w:rsid w:val="00290346"/>
    <w:rsid w:val="0029463D"/>
    <w:rsid w:val="0029707D"/>
    <w:rsid w:val="002971AC"/>
    <w:rsid w:val="002E6C21"/>
    <w:rsid w:val="00300A22"/>
    <w:rsid w:val="003018AD"/>
    <w:rsid w:val="00315D51"/>
    <w:rsid w:val="003319B2"/>
    <w:rsid w:val="003321DB"/>
    <w:rsid w:val="003612A4"/>
    <w:rsid w:val="0038350C"/>
    <w:rsid w:val="00386AB6"/>
    <w:rsid w:val="003A41CD"/>
    <w:rsid w:val="003A6288"/>
    <w:rsid w:val="003C1701"/>
    <w:rsid w:val="003E6D72"/>
    <w:rsid w:val="003F059C"/>
    <w:rsid w:val="003F2C9A"/>
    <w:rsid w:val="003F5017"/>
    <w:rsid w:val="00402FFA"/>
    <w:rsid w:val="0041028D"/>
    <w:rsid w:val="004278BE"/>
    <w:rsid w:val="00461629"/>
    <w:rsid w:val="0047727C"/>
    <w:rsid w:val="004A2274"/>
    <w:rsid w:val="004B1BB5"/>
    <w:rsid w:val="004C0558"/>
    <w:rsid w:val="004D1526"/>
    <w:rsid w:val="004D1E44"/>
    <w:rsid w:val="004E7EAC"/>
    <w:rsid w:val="004F6F58"/>
    <w:rsid w:val="00510A4E"/>
    <w:rsid w:val="00537435"/>
    <w:rsid w:val="00540D0C"/>
    <w:rsid w:val="00544604"/>
    <w:rsid w:val="00546E7F"/>
    <w:rsid w:val="0055427C"/>
    <w:rsid w:val="0058669C"/>
    <w:rsid w:val="00594051"/>
    <w:rsid w:val="0059587F"/>
    <w:rsid w:val="005A5A04"/>
    <w:rsid w:val="005F09B4"/>
    <w:rsid w:val="005F5F75"/>
    <w:rsid w:val="0060743E"/>
    <w:rsid w:val="006525CC"/>
    <w:rsid w:val="00670CC6"/>
    <w:rsid w:val="00674A23"/>
    <w:rsid w:val="006B19BD"/>
    <w:rsid w:val="006B2B48"/>
    <w:rsid w:val="006B36CC"/>
    <w:rsid w:val="006F24C5"/>
    <w:rsid w:val="00700934"/>
    <w:rsid w:val="00701914"/>
    <w:rsid w:val="0071123C"/>
    <w:rsid w:val="0072239A"/>
    <w:rsid w:val="007433ED"/>
    <w:rsid w:val="00752A71"/>
    <w:rsid w:val="0075586E"/>
    <w:rsid w:val="00763321"/>
    <w:rsid w:val="007671A0"/>
    <w:rsid w:val="007703EA"/>
    <w:rsid w:val="007754C7"/>
    <w:rsid w:val="007A3F66"/>
    <w:rsid w:val="007C0C67"/>
    <w:rsid w:val="007D29B7"/>
    <w:rsid w:val="007D6649"/>
    <w:rsid w:val="007F3CF5"/>
    <w:rsid w:val="0080390B"/>
    <w:rsid w:val="00814288"/>
    <w:rsid w:val="00840A72"/>
    <w:rsid w:val="008446C0"/>
    <w:rsid w:val="0088245C"/>
    <w:rsid w:val="008928F0"/>
    <w:rsid w:val="008A4F47"/>
    <w:rsid w:val="008B618D"/>
    <w:rsid w:val="008C272E"/>
    <w:rsid w:val="008D4788"/>
    <w:rsid w:val="008F6949"/>
    <w:rsid w:val="00902D00"/>
    <w:rsid w:val="009B1186"/>
    <w:rsid w:val="009B4A78"/>
    <w:rsid w:val="009C265C"/>
    <w:rsid w:val="009D6EA4"/>
    <w:rsid w:val="009D6F58"/>
    <w:rsid w:val="009D7A36"/>
    <w:rsid w:val="00A01901"/>
    <w:rsid w:val="00A06A96"/>
    <w:rsid w:val="00A14298"/>
    <w:rsid w:val="00A24951"/>
    <w:rsid w:val="00A27132"/>
    <w:rsid w:val="00A3023B"/>
    <w:rsid w:val="00A3093E"/>
    <w:rsid w:val="00A358C7"/>
    <w:rsid w:val="00A77B44"/>
    <w:rsid w:val="00AD005A"/>
    <w:rsid w:val="00AD3E8B"/>
    <w:rsid w:val="00B15782"/>
    <w:rsid w:val="00B37DBC"/>
    <w:rsid w:val="00B40851"/>
    <w:rsid w:val="00B40D4E"/>
    <w:rsid w:val="00B51996"/>
    <w:rsid w:val="00B53FE4"/>
    <w:rsid w:val="00B60E8A"/>
    <w:rsid w:val="00B73FC3"/>
    <w:rsid w:val="00B85370"/>
    <w:rsid w:val="00BB73CD"/>
    <w:rsid w:val="00BC50B4"/>
    <w:rsid w:val="00BD2763"/>
    <w:rsid w:val="00BD3BF6"/>
    <w:rsid w:val="00BE7C8B"/>
    <w:rsid w:val="00BF71B0"/>
    <w:rsid w:val="00C53FAE"/>
    <w:rsid w:val="00C603B5"/>
    <w:rsid w:val="00C77B2C"/>
    <w:rsid w:val="00C96CEA"/>
    <w:rsid w:val="00CA76CA"/>
    <w:rsid w:val="00CB3860"/>
    <w:rsid w:val="00D65F54"/>
    <w:rsid w:val="00D70B96"/>
    <w:rsid w:val="00D76B94"/>
    <w:rsid w:val="00D90B03"/>
    <w:rsid w:val="00D9180E"/>
    <w:rsid w:val="00D97E9E"/>
    <w:rsid w:val="00DA2A54"/>
    <w:rsid w:val="00DE0795"/>
    <w:rsid w:val="00DF399B"/>
    <w:rsid w:val="00E1432A"/>
    <w:rsid w:val="00E20411"/>
    <w:rsid w:val="00E20A1B"/>
    <w:rsid w:val="00E246CF"/>
    <w:rsid w:val="00EB430D"/>
    <w:rsid w:val="00ED06D9"/>
    <w:rsid w:val="00EF226D"/>
    <w:rsid w:val="00F118F4"/>
    <w:rsid w:val="00F262FB"/>
    <w:rsid w:val="00F3677D"/>
    <w:rsid w:val="00F44C1A"/>
    <w:rsid w:val="00FA1FBA"/>
    <w:rsid w:val="00FC52F7"/>
    <w:rsid w:val="00FD17D5"/>
    <w:rsid w:val="00FD1C67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DF178"/>
  <w15:docId w15:val="{431962E1-AC2C-4D98-9A06-B9BE4BB6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B2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C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7B2C"/>
    <w:pPr>
      <w:spacing w:after="0" w:line="240" w:lineRule="auto"/>
      <w:ind w:left="720"/>
    </w:pPr>
    <w:rPr>
      <w:rFonts w:ascii="Calibri" w:hAnsi="Calibri" w:cs="Calibri"/>
    </w:rPr>
  </w:style>
  <w:style w:type="table" w:customStyle="1" w:styleId="LightList-Accent12">
    <w:name w:val="Light List - Accent 12"/>
    <w:basedOn w:val="TableNormal"/>
    <w:uiPriority w:val="61"/>
    <w:rsid w:val="00C77B2C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ParagraphChar">
    <w:name w:val="List Paragraph Char"/>
    <w:link w:val="ListParagraph"/>
    <w:uiPriority w:val="34"/>
    <w:locked/>
    <w:rsid w:val="00C77B2C"/>
    <w:rPr>
      <w:rFonts w:ascii="Calibri" w:eastAsiaTheme="minorEastAsia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70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B9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B9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1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F4"/>
    <w:rPr>
      <w:rFonts w:eastAsiaTheme="minorEastAsia"/>
    </w:rPr>
  </w:style>
  <w:style w:type="table" w:styleId="TableGrid">
    <w:name w:val="Table Grid"/>
    <w:basedOn w:val="TableNormal"/>
    <w:uiPriority w:val="59"/>
    <w:rsid w:val="00FD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BUR text"/>
    <w:link w:val="NoSpacingChar"/>
    <w:uiPriority w:val="1"/>
    <w:qFormat/>
    <w:rsid w:val="00300A22"/>
    <w:pPr>
      <w:spacing w:after="0" w:line="240" w:lineRule="auto"/>
    </w:pPr>
  </w:style>
  <w:style w:type="character" w:customStyle="1" w:styleId="NoSpacingChar">
    <w:name w:val="No Spacing Char"/>
    <w:aliases w:val="BUR text Char"/>
    <w:link w:val="NoSpacing"/>
    <w:uiPriority w:val="1"/>
    <w:rsid w:val="00174789"/>
  </w:style>
  <w:style w:type="paragraph" w:styleId="NormalWeb">
    <w:name w:val="Normal (Web)"/>
    <w:basedOn w:val="Normal"/>
    <w:uiPriority w:val="99"/>
    <w:semiHidden/>
    <w:unhideWhenUsed/>
    <w:rsid w:val="000E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26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0C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Copy">
    <w:name w:val="Body Copy"/>
    <w:basedOn w:val="Normal"/>
    <w:qFormat/>
    <w:rsid w:val="00B85370"/>
    <w:pPr>
      <w:spacing w:after="0" w:line="240" w:lineRule="auto"/>
    </w:pPr>
    <w:rPr>
      <w:rFonts w:eastAsiaTheme="minorHAnsi"/>
      <w:spacing w:val="8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2017-12-28T16:00:00+00:00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1159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00065880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</TermName>
          <TermId xmlns="http://schemas.microsoft.com/office/infopath/2007/PartnerControls">1d2ea0de-5983-4ca5-a610-838eddc7a0d2</TermId>
        </TermInfo>
      </Terms>
    </gc6531b704974d528487414686b72f6f>
    <_dlc_DocId xmlns="f1161f5b-24a3-4c2d-bc81-44cb9325e8ee">ATLASPDC-4-75584</_dlc_DocId>
    <_dlc_DocIdUrl xmlns="f1161f5b-24a3-4c2d-bc81-44cb9325e8ee">
      <Url>https://info.undp.org/docs/pdc/_layouts/DocIdRedir.aspx?ID=ATLASPDC-4-75584</Url>
      <Description>ATLASPDC-4-75584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4380D67-8F33-4429-B3F3-C7106EA4AFD9}"/>
</file>

<file path=customXml/itemProps2.xml><?xml version="1.0" encoding="utf-8"?>
<ds:datastoreItem xmlns:ds="http://schemas.openxmlformats.org/officeDocument/2006/customXml" ds:itemID="{B98DCEE2-A5FC-452A-B2AA-269B2C8534C2}"/>
</file>

<file path=customXml/itemProps3.xml><?xml version="1.0" encoding="utf-8"?>
<ds:datastoreItem xmlns:ds="http://schemas.openxmlformats.org/officeDocument/2006/customXml" ds:itemID="{F0034D03-0FF3-4CA7-AFA9-33E9D2EEFBA7}"/>
</file>

<file path=customXml/itemProps4.xml><?xml version="1.0" encoding="utf-8"?>
<ds:datastoreItem xmlns:ds="http://schemas.openxmlformats.org/officeDocument/2006/customXml" ds:itemID="{A8BB0C36-4B6C-4187-B984-8BD558D58C65}"/>
</file>

<file path=customXml/itemProps5.xml><?xml version="1.0" encoding="utf-8"?>
<ds:datastoreItem xmlns:ds="http://schemas.openxmlformats.org/officeDocument/2006/customXml" ds:itemID="{12CACFC1-3528-496B-8235-61A89385E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Rita Effah</cp:lastModifiedBy>
  <cp:revision>2</cp:revision>
  <dcterms:created xsi:type="dcterms:W3CDTF">2017-12-28T15:58:00Z</dcterms:created>
  <dcterms:modified xsi:type="dcterms:W3CDTF">2017-12-28T15:58:00Z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1159;#GHA|1d2ea0de-5983-4ca5-a610-838eddc7a0d2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1112;#Progress Report|03c70d0e-c75e-4cfb-8288-e692640ede14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1087b596-fe14-41e5-860f-bc7280c1d464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